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1B849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A37A79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安利公益基金会项目（资助型）管理制度</w:t>
      </w:r>
    </w:p>
    <w:p w14:paraId="6E579A0A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第一章 总则</w:t>
      </w:r>
    </w:p>
    <w:p w14:paraId="31BD6373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第一条 为加强公益机构对项目管理的科学性和高效性，不</w:t>
      </w:r>
      <w:bookmarkStart w:id="0" w:name="_GoBack"/>
      <w:bookmarkEnd w:id="0"/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断提高安利公益基金会（下文简称基金会）的资助型项目管理水平与项目实施效果，采用适宜的管理技术和现代化手段，明确项目管理过程中的职责与项目实施过程中的分阶段重点，特编制本细则。</w:t>
      </w:r>
    </w:p>
    <w:p w14:paraId="499D0952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第二条 本办法适用于基金会各相关部门，是基金会管理和协调资助型项目的策划、实施、监督、反馈、验收及总结的工作指南。</w:t>
      </w:r>
    </w:p>
    <w:p w14:paraId="287B60C3" w14:textId="708EA469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第三条 基金会项目审批权限属于秘书长办公会议，项目</w:t>
      </w:r>
      <w:r w:rsidR="006A720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申报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部门为基金会项目部。</w:t>
      </w:r>
    </w:p>
    <w:p w14:paraId="203BE7BE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14:paraId="353621C4" w14:textId="45182EB6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第二章 </w:t>
      </w:r>
      <w:r w:rsidR="00E85965" w:rsidRPr="00A37A7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资助</w:t>
      </w:r>
      <w:r w:rsidRPr="00A37A7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规划</w:t>
      </w:r>
    </w:p>
    <w:p w14:paraId="78BA2973" w14:textId="6129C45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第四条 为保证基金会宗旨和年度项目计划的一致性，同时充分结合项目实际情况的发展和变化，由基金会</w:t>
      </w:r>
      <w:r w:rsidR="006A720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项目</w:t>
      </w:r>
      <w:r w:rsidR="006A720B" w:rsidRPr="00A37A79">
        <w:rPr>
          <w:rFonts w:asciiTheme="minorEastAsia" w:hAnsiTheme="minorEastAsia" w:cs="宋体"/>
          <w:color w:val="000000"/>
          <w:kern w:val="0"/>
          <w:sz w:val="24"/>
          <w:szCs w:val="24"/>
        </w:rPr>
        <w:t>部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负责制定基金会年度项目资助</w:t>
      </w:r>
      <w:r w:rsidR="00E85965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规划</w:t>
      </w:r>
      <w:r w:rsidR="006D68B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，经基金会理事会决议通过确认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18D52B66" w14:textId="6F6B1721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第五条 </w:t>
      </w:r>
      <w:r w:rsidR="00E85965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年度资助规划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应当作为</w:t>
      </w:r>
      <w:r w:rsidR="00E85965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年度内资助型项目的申请和筛选的基础。如果在年度项目计划制定完成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后出现新的项目机会或突发性灾难事件，在充分论证的基础上可由项目部对年度项目</w:t>
      </w:r>
      <w:r w:rsidR="006A720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资助</w:t>
      </w:r>
      <w:r w:rsidR="006D68B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规划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进行调整。</w:t>
      </w:r>
    </w:p>
    <w:p w14:paraId="44EE9D07" w14:textId="2ACCA78B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第六条 </w:t>
      </w:r>
      <w:r w:rsidR="00E85965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资助规划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应保证对项目公益性的引导，并严格按照基金会项目宗旨 、财务管理和监督机制运行。</w:t>
      </w:r>
    </w:p>
    <w:p w14:paraId="110AFF7F" w14:textId="4BBE57AA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第七条 基金会</w:t>
      </w:r>
      <w:r w:rsidR="006A720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项目部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对</w:t>
      </w:r>
      <w:r w:rsidR="00A316E5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项目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进行审定、核查、筛选、归档，符合条件的进入</w:t>
      </w:r>
      <w:r w:rsidR="00A316E5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资助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申报阶段。</w:t>
      </w:r>
    </w:p>
    <w:p w14:paraId="6DF85877" w14:textId="05DCBD7B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6B66C94F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第三章 项目申报与筛选</w:t>
      </w:r>
    </w:p>
    <w:p w14:paraId="6145D41B" w14:textId="15C380C4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第八条 基金会根据</w:t>
      </w:r>
      <w:r w:rsidR="00A316E5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项目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资助</w:t>
      </w:r>
      <w:r w:rsidR="00A316E5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规划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，选择对应公开渠道发布项目申报标准</w:t>
      </w:r>
      <w:r w:rsidR="006D68B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，重大资助项目可由项目部与潜在</w:t>
      </w:r>
      <w:r w:rsidR="00643379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受资助方</w:t>
      </w:r>
      <w:r w:rsidR="006D68B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共同完善项目申报材料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4EE70C1D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第九条 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项目负责人/秘书长/理事长、主席参照《安利公益基金会项目审核与批准权限参照表》规定批准项目。</w:t>
      </w:r>
    </w:p>
    <w:p w14:paraId="10C89B7D" w14:textId="0115FF06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第十条 </w:t>
      </w:r>
      <w:r w:rsidR="006D68B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项目申报内容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应符合安利公益基金会宗旨，</w:t>
      </w:r>
      <w:r w:rsidR="006D68B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包含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针对资助</w:t>
      </w:r>
      <w:r w:rsidR="006D68B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规划的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项目建议书，</w:t>
      </w:r>
      <w:r w:rsidR="006D68B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要求申报机构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有良好的管理机制，并做到专款专用。</w:t>
      </w:r>
    </w:p>
    <w:p w14:paraId="7B01D3E9" w14:textId="05A0B395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102B991E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第四章 项目立项</w:t>
      </w:r>
    </w:p>
    <w:p w14:paraId="739DD6F5" w14:textId="082FA87D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第十一条</w:t>
      </w:r>
      <w:r w:rsidR="006D68BB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项目通过筛选获得资助</w:t>
      </w:r>
      <w:r w:rsidR="00643379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资格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后，安利公益基金会将与受</w:t>
      </w:r>
      <w:r w:rsidR="00A316E5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资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助</w:t>
      </w:r>
      <w:r w:rsidR="00A316E5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方即</w:t>
      </w:r>
      <w:r w:rsidR="00A316E5" w:rsidRPr="00A37A79">
        <w:rPr>
          <w:rFonts w:asciiTheme="minorEastAsia" w:hAnsiTheme="minorEastAsia" w:cs="宋体"/>
          <w:color w:val="000000"/>
          <w:kern w:val="0"/>
          <w:sz w:val="24"/>
          <w:szCs w:val="24"/>
          <w:shd w:val="clear" w:color="auto" w:fill="FFFFFF"/>
        </w:rPr>
        <w:t>合作方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共同完成立项。</w:t>
      </w:r>
    </w:p>
    <w:p w14:paraId="094C64A7" w14:textId="623DE1BA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第十二条 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项目立项批准后，基金会与</w:t>
      </w:r>
      <w:r w:rsidR="00A316E5" w:rsidRPr="00A37A79">
        <w:rPr>
          <w:rFonts w:asciiTheme="minorEastAsia" w:hAnsiTheme="minorEastAsia" w:cs="宋体"/>
          <w:color w:val="000000"/>
          <w:kern w:val="0"/>
          <w:sz w:val="24"/>
          <w:szCs w:val="24"/>
          <w:shd w:val="clear" w:color="auto" w:fill="FFFFFF"/>
        </w:rPr>
        <w:t>合作方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签订资助</w:t>
      </w:r>
      <w:r w:rsidR="00A316E5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/捐助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协议。</w:t>
      </w:r>
    </w:p>
    <w:p w14:paraId="52BE00A8" w14:textId="283E4C99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第十三条 </w:t>
      </w:r>
      <w:r w:rsidR="00672E0F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资助协议签订后，根据资助规划和协议内容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要求，由项目官员填写《安利公益基金会付款申请表》，进入财务拨付流程。</w:t>
      </w:r>
    </w:p>
    <w:p w14:paraId="5E2C0A64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14:paraId="5A97849B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第五章 项目实施</w:t>
      </w:r>
    </w:p>
    <w:p w14:paraId="01C705D4" w14:textId="187C2BF5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第十四条 基金会及</w:t>
      </w:r>
      <w:r w:rsidR="00643379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合作</w:t>
      </w:r>
      <w:r w:rsidR="00A316E5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方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应依照项目建议书制定项目管理实施机制。</w:t>
      </w:r>
    </w:p>
    <w:p w14:paraId="4B374F7C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第十五条  项目实施由合作方落实，基金会员工将定期参与合作伙伴所执行的项目，协助收集受助方的信息资料，筛选与审核受助方申报资料，确保受助方符合基金会资助标准。</w:t>
      </w:r>
    </w:p>
    <w:p w14:paraId="23F12E1B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7682750E" w14:textId="4330A98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第六章 项目</w:t>
      </w:r>
      <w:r w:rsidR="00672E0F" w:rsidRPr="00A37A7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督导</w:t>
      </w:r>
      <w:r w:rsidRPr="00A37A7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与检查</w:t>
      </w:r>
    </w:p>
    <w:p w14:paraId="05D1A395" w14:textId="50E214E1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第十六条 </w:t>
      </w:r>
      <w:r w:rsidR="00643379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合作方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需依照项目建议书设立项目</w:t>
      </w:r>
      <w:r w:rsidR="00672E0F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监督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机制，并在项目</w:t>
      </w:r>
      <w:r w:rsidR="008B7EF9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中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进行项目</w:t>
      </w:r>
      <w:r w:rsidR="00672E0F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督导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与检查</w:t>
      </w:r>
      <w:r w:rsidR="00324D27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，并</w:t>
      </w:r>
      <w:r w:rsidR="00324D27" w:rsidRPr="00A37A79">
        <w:rPr>
          <w:rFonts w:asciiTheme="minorEastAsia" w:hAnsiTheme="minorEastAsia" w:cs="宋体"/>
          <w:color w:val="000000"/>
          <w:kern w:val="0"/>
          <w:sz w:val="24"/>
          <w:szCs w:val="24"/>
          <w:shd w:val="clear" w:color="auto" w:fill="FFFFFF"/>
        </w:rPr>
        <w:t>有义务</w:t>
      </w:r>
      <w:r w:rsidR="00324D27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就</w:t>
      </w:r>
      <w:r w:rsidR="00324D27" w:rsidRPr="00A37A79">
        <w:rPr>
          <w:rFonts w:asciiTheme="minorEastAsia" w:hAnsiTheme="minorEastAsia" w:cs="宋体"/>
          <w:color w:val="000000"/>
          <w:kern w:val="0"/>
          <w:sz w:val="24"/>
          <w:szCs w:val="24"/>
          <w:shd w:val="clear" w:color="auto" w:fill="FFFFFF"/>
        </w:rPr>
        <w:t>督导</w:t>
      </w:r>
      <w:r w:rsidR="00324D27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与</w:t>
      </w:r>
      <w:r w:rsidR="00324D27" w:rsidRPr="00A37A79">
        <w:rPr>
          <w:rFonts w:asciiTheme="minorEastAsia" w:hAnsiTheme="minorEastAsia" w:cs="宋体"/>
          <w:color w:val="000000"/>
          <w:kern w:val="0"/>
          <w:sz w:val="24"/>
          <w:szCs w:val="24"/>
          <w:shd w:val="clear" w:color="auto" w:fill="FFFFFF"/>
        </w:rPr>
        <w:t>检查结果向基金会项目</w:t>
      </w:r>
      <w:r w:rsidR="00324D27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部进行</w:t>
      </w:r>
      <w:r w:rsidR="00324D27" w:rsidRPr="00A37A79">
        <w:rPr>
          <w:rFonts w:asciiTheme="minorEastAsia" w:hAnsiTheme="minorEastAsia" w:cs="宋体"/>
          <w:color w:val="000000"/>
          <w:kern w:val="0"/>
          <w:sz w:val="24"/>
          <w:szCs w:val="24"/>
          <w:shd w:val="clear" w:color="auto" w:fill="FFFFFF"/>
        </w:rPr>
        <w:t>阶段性沟通</w:t>
      </w:r>
      <w:r w:rsidR="00324D27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</w:p>
    <w:p w14:paraId="567D4A98" w14:textId="7630756A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第十七条 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合作方应及时进行总结和分析，对项目执行过程中存在的问题提出改进措施，并进行整改。</w:t>
      </w:r>
    </w:p>
    <w:p w14:paraId="1FA37D4A" w14:textId="1C0C49F4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第十八条 </w:t>
      </w:r>
      <w:r w:rsidR="00643379" w:rsidRPr="00A37A79">
        <w:rPr>
          <w:rFonts w:asciiTheme="minorEastAsia" w:hAnsiTheme="minorEastAsia" w:cs="宋体"/>
          <w:color w:val="000000"/>
          <w:kern w:val="0"/>
          <w:sz w:val="24"/>
          <w:szCs w:val="24"/>
          <w:shd w:val="clear" w:color="auto" w:fill="FFFFFF"/>
        </w:rPr>
        <w:t>合作方</w:t>
      </w:r>
      <w:r w:rsidR="00643379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的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项目监督结果应该作为项目修订及发展新项目的重要依据，不断提升基金会公益项目的管理水平。</w:t>
      </w:r>
    </w:p>
    <w:p w14:paraId="5E0A5214" w14:textId="77777777" w:rsidR="00C3063D" w:rsidRPr="00A37A79" w:rsidRDefault="00C3063D" w:rsidP="00A37A79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14:paraId="4CFBAD12" w14:textId="77777777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第七章 项目验收</w:t>
      </w:r>
    </w:p>
    <w:p w14:paraId="6E2B6347" w14:textId="60BFD320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第十九条 项目完成阶段性目标或进入阶段性时间节点（如年末）后，</w:t>
      </w:r>
      <w:r w:rsidR="00643379" w:rsidRPr="00A37A79">
        <w:rPr>
          <w:rFonts w:asciiTheme="minorEastAsia" w:hAnsiTheme="minorEastAsia" w:cs="宋体"/>
          <w:color w:val="000000"/>
          <w:kern w:val="0"/>
          <w:sz w:val="24"/>
          <w:szCs w:val="24"/>
          <w:shd w:val="clear" w:color="auto" w:fill="FFFFFF"/>
        </w:rPr>
        <w:t>合作方</w:t>
      </w:r>
      <w:r w:rsidR="00643379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须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在20个工作日内提交项目阶段性工作总结，移交项目实施过程中产生的资料。</w:t>
      </w:r>
    </w:p>
    <w:p w14:paraId="118C8F89" w14:textId="6132039F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第二十条 项目执行完毕后，</w:t>
      </w:r>
      <w:r w:rsidR="008C49DF"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项目部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须在40个工作日内提交项目结项报告。</w:t>
      </w:r>
    </w:p>
    <w:p w14:paraId="586B2E3E" w14:textId="331AD68D" w:rsidR="00C3063D" w:rsidRPr="00A37A79" w:rsidRDefault="00C3063D" w:rsidP="00A37A79">
      <w:pPr>
        <w:widowControl/>
        <w:shd w:val="clear" w:color="auto" w:fill="FFFFFF"/>
        <w:snapToGrid w:val="0"/>
        <w:spacing w:before="75" w:after="75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第二十一条 项目部对</w:t>
      </w:r>
      <w:r w:rsidR="00643379" w:rsidRPr="00A37A79">
        <w:rPr>
          <w:rFonts w:asciiTheme="minorEastAsia" w:hAnsiTheme="minorEastAsia" w:cs="宋体"/>
          <w:color w:val="000000"/>
          <w:kern w:val="0"/>
          <w:sz w:val="24"/>
          <w:szCs w:val="24"/>
          <w:shd w:val="clear" w:color="auto" w:fill="FFFFFF"/>
        </w:rPr>
        <w:t>合作方</w:t>
      </w:r>
      <w:r w:rsidRPr="00A37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项目执行情况向秘书长汇报，重大项目的执行总结对理事会进行报告。</w:t>
      </w:r>
    </w:p>
    <w:p w14:paraId="0544A430" w14:textId="230F6B3D" w:rsidR="00B11C11" w:rsidRPr="00A37A79" w:rsidRDefault="00CE02C3" w:rsidP="00A37A79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sectPr w:rsidR="00B11C11" w:rsidRPr="00A37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DF42B" w14:textId="77777777" w:rsidR="00CE02C3" w:rsidRDefault="00CE02C3" w:rsidP="00715E5C">
      <w:r>
        <w:separator/>
      </w:r>
    </w:p>
  </w:endnote>
  <w:endnote w:type="continuationSeparator" w:id="0">
    <w:p w14:paraId="4D6A5AC8" w14:textId="77777777" w:rsidR="00CE02C3" w:rsidRDefault="00CE02C3" w:rsidP="0071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10B57" w14:textId="77777777" w:rsidR="00CE02C3" w:rsidRDefault="00CE02C3" w:rsidP="00715E5C">
      <w:r>
        <w:separator/>
      </w:r>
    </w:p>
  </w:footnote>
  <w:footnote w:type="continuationSeparator" w:id="0">
    <w:p w14:paraId="1628AB2D" w14:textId="77777777" w:rsidR="00CE02C3" w:rsidRDefault="00CE02C3" w:rsidP="0071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6B"/>
    <w:rsid w:val="000749BD"/>
    <w:rsid w:val="00096B4E"/>
    <w:rsid w:val="00324D27"/>
    <w:rsid w:val="00435DDF"/>
    <w:rsid w:val="004D36D0"/>
    <w:rsid w:val="005029FB"/>
    <w:rsid w:val="005046F6"/>
    <w:rsid w:val="00643379"/>
    <w:rsid w:val="00672E0F"/>
    <w:rsid w:val="006A720B"/>
    <w:rsid w:val="006D1286"/>
    <w:rsid w:val="006D68BB"/>
    <w:rsid w:val="00715E5C"/>
    <w:rsid w:val="007A0141"/>
    <w:rsid w:val="008B7EF9"/>
    <w:rsid w:val="008C49DF"/>
    <w:rsid w:val="00A316E5"/>
    <w:rsid w:val="00A37A79"/>
    <w:rsid w:val="00A93100"/>
    <w:rsid w:val="00BD68D6"/>
    <w:rsid w:val="00C27A99"/>
    <w:rsid w:val="00C3063D"/>
    <w:rsid w:val="00C75405"/>
    <w:rsid w:val="00CE02C3"/>
    <w:rsid w:val="00E203FB"/>
    <w:rsid w:val="00E2646B"/>
    <w:rsid w:val="00E85965"/>
    <w:rsid w:val="00EB5B31"/>
    <w:rsid w:val="00EE4B58"/>
    <w:rsid w:val="00F5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A5D47"/>
  <w15:chartTrackingRefBased/>
  <w15:docId w15:val="{CA5DD7DE-C891-419B-A1BE-75AB8E74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4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646B"/>
    <w:rPr>
      <w:b/>
      <w:bCs/>
    </w:rPr>
  </w:style>
  <w:style w:type="character" w:customStyle="1" w:styleId="apple-converted-space">
    <w:name w:val="apple-converted-space"/>
    <w:basedOn w:val="a0"/>
    <w:rsid w:val="00E2646B"/>
  </w:style>
  <w:style w:type="character" w:styleId="a5">
    <w:name w:val="Hyperlink"/>
    <w:basedOn w:val="a0"/>
    <w:uiPriority w:val="99"/>
    <w:semiHidden/>
    <w:unhideWhenUsed/>
    <w:rsid w:val="00E2646B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715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15E5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15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15E5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35DDF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435DDF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435DDF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35DDF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435DDF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435DDF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35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55AC-24A8-4C90-8386-FC8896F7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Zhang</dc:creator>
  <cp:keywords/>
  <dc:description/>
  <cp:lastModifiedBy>Ruifang Jia</cp:lastModifiedBy>
  <cp:revision>8</cp:revision>
  <cp:lastPrinted>2015-01-15T09:38:00Z</cp:lastPrinted>
  <dcterms:created xsi:type="dcterms:W3CDTF">2014-12-11T03:46:00Z</dcterms:created>
  <dcterms:modified xsi:type="dcterms:W3CDTF">2015-01-15T09:38:00Z</dcterms:modified>
</cp:coreProperties>
</file>